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CB41" w14:textId="77777777" w:rsidR="00B83D26" w:rsidRPr="00B83D26" w:rsidRDefault="00B83D26" w:rsidP="00BE3F0D">
      <w:pPr>
        <w:jc w:val="both"/>
        <w:rPr>
          <w:rFonts w:cs="Arial"/>
          <w:b/>
          <w:sz w:val="28"/>
          <w:szCs w:val="28"/>
        </w:rPr>
      </w:pPr>
    </w:p>
    <w:p w14:paraId="0F571E1F" w14:textId="77777777" w:rsidR="00B83D26" w:rsidRDefault="00B83D26" w:rsidP="00BE3F0D">
      <w:pPr>
        <w:ind w:left="1276"/>
        <w:jc w:val="both"/>
        <w:rPr>
          <w:rFonts w:cs="Arial"/>
          <w:b/>
          <w:szCs w:val="24"/>
        </w:rPr>
      </w:pPr>
    </w:p>
    <w:p w14:paraId="3719B455" w14:textId="77777777" w:rsidR="00A768F0" w:rsidRPr="00B83D26" w:rsidRDefault="00A768F0" w:rsidP="00BE3F0D">
      <w:pPr>
        <w:ind w:left="1276"/>
        <w:jc w:val="both"/>
        <w:rPr>
          <w:rFonts w:cs="Arial"/>
          <w:b/>
          <w:szCs w:val="24"/>
        </w:rPr>
      </w:pPr>
    </w:p>
    <w:p w14:paraId="406909C7" w14:textId="77777777" w:rsidR="007E3F29" w:rsidRDefault="007E3F29" w:rsidP="007E3F29">
      <w:pPr>
        <w:jc w:val="both"/>
        <w:rPr>
          <w:b/>
          <w:szCs w:val="24"/>
        </w:rPr>
      </w:pPr>
      <w:bookmarkStart w:id="0" w:name="_Hlk148516611"/>
      <w:r w:rsidRPr="00FB6113">
        <w:rPr>
          <w:b/>
          <w:szCs w:val="24"/>
        </w:rPr>
        <w:t xml:space="preserve">NAZIV PREDMETA NABAVE: </w:t>
      </w:r>
      <w:r>
        <w:rPr>
          <w:b/>
          <w:szCs w:val="24"/>
        </w:rPr>
        <w:t xml:space="preserve">UREĐAJI ZA DALJINSKO OČITAVANJE PLINOMJERA </w:t>
      </w:r>
    </w:p>
    <w:p w14:paraId="18A8FE79" w14:textId="77777777" w:rsidR="007E3F29" w:rsidRPr="00FB6113" w:rsidRDefault="007E3F29" w:rsidP="007E3F29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VELIČINE G-10 I VEĆI - Ex IZVEDBA</w:t>
      </w:r>
    </w:p>
    <w:p w14:paraId="05C78744" w14:textId="77777777" w:rsidR="007E3F29" w:rsidRDefault="007E3F29" w:rsidP="00672001">
      <w:pPr>
        <w:rPr>
          <w:rFonts w:cs="Arial"/>
          <w:szCs w:val="24"/>
          <w:u w:val="single"/>
        </w:rPr>
      </w:pPr>
    </w:p>
    <w:p w14:paraId="6B9E91B7" w14:textId="77777777" w:rsidR="007E3F29" w:rsidRDefault="007E3F29" w:rsidP="00672001">
      <w:pPr>
        <w:rPr>
          <w:rFonts w:cs="Arial"/>
          <w:szCs w:val="24"/>
          <w:u w:val="single"/>
        </w:rPr>
      </w:pPr>
    </w:p>
    <w:p w14:paraId="46D069BD" w14:textId="529CFCE4" w:rsidR="00672001" w:rsidRPr="00E70D9B" w:rsidRDefault="00672001" w:rsidP="00672001">
      <w:pPr>
        <w:rPr>
          <w:rFonts w:cs="Arial"/>
          <w:szCs w:val="24"/>
          <w:u w:val="single"/>
        </w:rPr>
      </w:pPr>
      <w:r w:rsidRPr="00E70D9B">
        <w:rPr>
          <w:rFonts w:cs="Arial"/>
          <w:szCs w:val="24"/>
          <w:u w:val="single"/>
        </w:rPr>
        <w:t>Bitna napomena:</w:t>
      </w:r>
    </w:p>
    <w:p w14:paraId="4475576B" w14:textId="77777777" w:rsidR="00672001" w:rsidRPr="00E70D9B" w:rsidRDefault="00672001" w:rsidP="00672001">
      <w:pPr>
        <w:rPr>
          <w:rFonts w:cs="Arial"/>
          <w:szCs w:val="24"/>
          <w:u w:val="single"/>
        </w:rPr>
      </w:pPr>
    </w:p>
    <w:p w14:paraId="64A782F4" w14:textId="77777777" w:rsidR="00672001" w:rsidRPr="00E70D9B" w:rsidRDefault="00672001" w:rsidP="00672001">
      <w:pPr>
        <w:rPr>
          <w:rFonts w:cs="Arial"/>
          <w:szCs w:val="24"/>
        </w:rPr>
      </w:pPr>
    </w:p>
    <w:p w14:paraId="0957B7BD" w14:textId="77777777" w:rsidR="00672001" w:rsidRPr="00E70D9B" w:rsidRDefault="00672001" w:rsidP="00B403A5">
      <w:pPr>
        <w:jc w:val="both"/>
        <w:rPr>
          <w:rFonts w:cs="Arial"/>
          <w:szCs w:val="24"/>
        </w:rPr>
      </w:pPr>
      <w:r w:rsidRPr="00E70D9B">
        <w:rPr>
          <w:rFonts w:cs="Arial"/>
          <w:szCs w:val="24"/>
        </w:rPr>
        <w:t>Stavke u tablici 1) u Tehničkoj specifikaciji dokazuju se zadnjim izdanjem (navesti godinu izdanja u tablici) važeće tehničke dokumentacije koja treba sadržavati certifikate, sklopne crteže, kataloge ili prospektne materijale u preslici originala i u prijevodu na hrvatskom jeziku, s poveznicom na službenu mrežnu stranicu (web-stranicu - adresu navesti uz tablicu 1)) proizvođača na kojoj su vidljive tehničke specifikacije za proizvod koji se nudi te iz kojih je vidljivo da ponuđeni proizvod zadovoljava sve uvjete određene u Tehničkoj specifikaciji.</w:t>
      </w:r>
    </w:p>
    <w:p w14:paraId="0530931F" w14:textId="77777777" w:rsidR="00672001" w:rsidRPr="00E70D9B" w:rsidRDefault="00672001" w:rsidP="00B403A5">
      <w:pPr>
        <w:jc w:val="both"/>
        <w:rPr>
          <w:rFonts w:cs="Arial"/>
          <w:szCs w:val="24"/>
        </w:rPr>
      </w:pPr>
    </w:p>
    <w:p w14:paraId="3388CE59" w14:textId="77777777" w:rsidR="00672001" w:rsidRPr="00E70D9B" w:rsidRDefault="00672001" w:rsidP="00B403A5">
      <w:pPr>
        <w:jc w:val="both"/>
        <w:rPr>
          <w:rFonts w:cs="Arial"/>
          <w:szCs w:val="24"/>
        </w:rPr>
      </w:pPr>
      <w:r w:rsidRPr="00E70D9B">
        <w:rPr>
          <w:rFonts w:cs="Arial"/>
          <w:szCs w:val="24"/>
        </w:rPr>
        <w:t>Ponuditelj uz važeću tehničku dokumentaciju proizvođača (certifikat, sklopni crtež, katalog, prospekt ili drugi važeći dokumenti u preslici originala i u prijevodu na hrvatski jezik) dostavlja i popunjenu tablicu 1) s obveznom naznakom rednog broja stranice i naziva tehničke dokumentacije na kojoj se nalazi tražena stavka tehničke specifikacije, također potrebno je da se i označe tražene stavke iz tablice 1) tehničke specifikacije u tehničkoj dokumentaciji, a čija autentičnost mora biti potvrđena na zahtjev Naručitelja.</w:t>
      </w:r>
    </w:p>
    <w:p w14:paraId="22610E1E" w14:textId="77777777" w:rsidR="00672001" w:rsidRPr="00E70D9B" w:rsidRDefault="00672001" w:rsidP="00B403A5">
      <w:pPr>
        <w:jc w:val="both"/>
        <w:rPr>
          <w:rFonts w:cs="Arial"/>
          <w:szCs w:val="24"/>
        </w:rPr>
      </w:pPr>
    </w:p>
    <w:p w14:paraId="006749F4" w14:textId="36A07389" w:rsidR="00672001" w:rsidRPr="00E70D9B" w:rsidRDefault="00672001" w:rsidP="00B403A5">
      <w:pPr>
        <w:jc w:val="both"/>
        <w:rPr>
          <w:rFonts w:cs="Arial"/>
          <w:szCs w:val="24"/>
        </w:rPr>
      </w:pPr>
      <w:r w:rsidRPr="00E70D9B">
        <w:rPr>
          <w:rFonts w:cs="Arial"/>
          <w:szCs w:val="24"/>
        </w:rPr>
        <w:t xml:space="preserve">Naručitelj će provjeriti da li dostavljeni uzorak </w:t>
      </w:r>
      <w:r w:rsidR="002E5298" w:rsidRPr="00E70D9B">
        <w:rPr>
          <w:rFonts w:cs="Arial"/>
          <w:szCs w:val="24"/>
        </w:rPr>
        <w:t>uređaja</w:t>
      </w:r>
      <w:r w:rsidRPr="00E70D9B">
        <w:rPr>
          <w:rFonts w:cs="Arial"/>
          <w:szCs w:val="24"/>
        </w:rPr>
        <w:t xml:space="preserve"> zadovoljava sve tražene uvjete određene Tehničkom specifikacijom, </w:t>
      </w:r>
      <w:r w:rsidRPr="00E70D9B">
        <w:rPr>
          <w:rFonts w:cs="Arial"/>
          <w:szCs w:val="24"/>
          <w:u w:val="single"/>
        </w:rPr>
        <w:t>u slučaju da dostavljeni uzorak ne zadovoljava sve uvjete propisane u Tehničkoj specifikaciji</w:t>
      </w:r>
      <w:r w:rsidRPr="00E70D9B">
        <w:rPr>
          <w:rFonts w:cs="Arial"/>
          <w:szCs w:val="24"/>
        </w:rPr>
        <w:t xml:space="preserve"> (od stavke 1. do stavke 2</w:t>
      </w:r>
      <w:r w:rsidR="002E5298" w:rsidRPr="00E70D9B">
        <w:rPr>
          <w:rFonts w:cs="Arial"/>
          <w:szCs w:val="24"/>
        </w:rPr>
        <w:t>3</w:t>
      </w:r>
      <w:r w:rsidRPr="00E70D9B">
        <w:rPr>
          <w:rFonts w:cs="Arial"/>
          <w:szCs w:val="24"/>
        </w:rPr>
        <w:t xml:space="preserve">.) Naručitelja i nije u skladu s dostavljenom tehničkom dokumentacijom Ponuditelja za </w:t>
      </w:r>
      <w:r w:rsidR="002E5298" w:rsidRPr="00E70D9B">
        <w:rPr>
          <w:rFonts w:cs="Arial"/>
          <w:szCs w:val="24"/>
        </w:rPr>
        <w:t>uređaje</w:t>
      </w:r>
      <w:r w:rsidRPr="00E70D9B">
        <w:rPr>
          <w:rFonts w:cs="Arial"/>
          <w:szCs w:val="24"/>
        </w:rPr>
        <w:t xml:space="preserve"> za daljinsko očitavanje, </w:t>
      </w:r>
      <w:r w:rsidRPr="00E70D9B">
        <w:rPr>
          <w:rFonts w:cs="Arial"/>
          <w:szCs w:val="24"/>
          <w:u w:val="single"/>
        </w:rPr>
        <w:t>smatrat će se da ponuda ne zadovoljava</w:t>
      </w:r>
      <w:r w:rsidRPr="00E70D9B">
        <w:rPr>
          <w:rFonts w:cs="Arial"/>
          <w:szCs w:val="24"/>
        </w:rPr>
        <w:t xml:space="preserve"> propisane uvjete natječaja te će ponuda biti odbijena.</w:t>
      </w:r>
    </w:p>
    <w:p w14:paraId="689C3FE9" w14:textId="77777777" w:rsidR="000E479B" w:rsidRPr="00E70D9B" w:rsidRDefault="000E479B" w:rsidP="000D7A7E">
      <w:pPr>
        <w:jc w:val="both"/>
        <w:rPr>
          <w:rFonts w:cs="Arial"/>
          <w:b/>
          <w:bCs/>
          <w:szCs w:val="24"/>
          <w:u w:val="single"/>
        </w:rPr>
      </w:pPr>
    </w:p>
    <w:p w14:paraId="31027B7E" w14:textId="77777777" w:rsidR="00672001" w:rsidRPr="00E70D9B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401ABB9D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7232C73F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29C2001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0C1581D5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356C5870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72CEB524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76EAE750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4CD5C8E6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1251140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1CC0E635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1A991238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6E69961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39CE39DD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76EDBDCB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554D718A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670FCF2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2524EADD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493C49E2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8C5F23C" w14:textId="77777777" w:rsidR="000C31D6" w:rsidRDefault="000C31D6" w:rsidP="000D7A7E">
      <w:pPr>
        <w:jc w:val="both"/>
        <w:rPr>
          <w:rFonts w:cs="Arial"/>
          <w:b/>
          <w:bCs/>
          <w:szCs w:val="24"/>
          <w:u w:val="single"/>
        </w:rPr>
      </w:pPr>
    </w:p>
    <w:p w14:paraId="2ADE9928" w14:textId="77777777" w:rsidR="000C31D6" w:rsidRDefault="000C31D6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18B325F" w14:textId="77777777" w:rsidR="00672001" w:rsidRDefault="00672001" w:rsidP="000D7A7E">
      <w:pPr>
        <w:jc w:val="both"/>
        <w:rPr>
          <w:rFonts w:cs="Arial"/>
          <w:b/>
          <w:bCs/>
          <w:szCs w:val="24"/>
          <w:u w:val="single"/>
        </w:rPr>
      </w:pPr>
    </w:p>
    <w:p w14:paraId="67B408F5" w14:textId="77777777" w:rsidR="00E376D7" w:rsidRDefault="00E376D7" w:rsidP="000D7A7E">
      <w:pPr>
        <w:jc w:val="both"/>
        <w:rPr>
          <w:rFonts w:cs="Arial"/>
          <w:b/>
          <w:bCs/>
          <w:szCs w:val="24"/>
          <w:u w:val="single"/>
        </w:rPr>
      </w:pPr>
    </w:p>
    <w:p w14:paraId="265ED1D1" w14:textId="77777777" w:rsidR="005418BA" w:rsidRDefault="005418BA" w:rsidP="000D7A7E">
      <w:pPr>
        <w:jc w:val="both"/>
        <w:rPr>
          <w:rFonts w:cs="Arial"/>
          <w:b/>
          <w:bCs/>
          <w:szCs w:val="24"/>
          <w:u w:val="single"/>
        </w:rPr>
      </w:pPr>
    </w:p>
    <w:p w14:paraId="13ED3BB4" w14:textId="77777777" w:rsidR="005418BA" w:rsidRDefault="005418BA" w:rsidP="000D7A7E">
      <w:pPr>
        <w:jc w:val="both"/>
        <w:rPr>
          <w:rFonts w:cs="Arial"/>
          <w:b/>
          <w:bCs/>
          <w:szCs w:val="24"/>
          <w:u w:val="single"/>
        </w:rPr>
      </w:pPr>
    </w:p>
    <w:p w14:paraId="37677943" w14:textId="7174CCDC" w:rsidR="00E376D7" w:rsidRDefault="00E376D7" w:rsidP="00E376D7">
      <w:pPr>
        <w:pStyle w:val="Odlomak"/>
        <w:spacing w:before="0" w:after="120"/>
        <w:ind w:left="1276" w:hanging="1253"/>
        <w:rPr>
          <w:rFonts w:cs="Arial"/>
          <w:szCs w:val="24"/>
        </w:rPr>
      </w:pPr>
      <w:r>
        <w:rPr>
          <w:rFonts w:cs="Arial"/>
          <w:szCs w:val="24"/>
        </w:rPr>
        <w:t>Tablica 1</w:t>
      </w:r>
      <w:r w:rsidRPr="004E58C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Tehnička specifikacija za uređaje za daljinsko radijsko očitavanje plinomjera veličine </w:t>
      </w:r>
      <w:r w:rsidR="00686169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G-10 i veći - Ex izvedba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843"/>
        <w:gridCol w:w="1701"/>
      </w:tblGrid>
      <w:tr w:rsidR="00947777" w:rsidRPr="007F2D45" w14:paraId="31B7B70B" w14:textId="77777777" w:rsidTr="00033DD5">
        <w:trPr>
          <w:trHeight w:val="1751"/>
        </w:trPr>
        <w:tc>
          <w:tcPr>
            <w:tcW w:w="568" w:type="dxa"/>
            <w:shd w:val="clear" w:color="auto" w:fill="auto"/>
            <w:vAlign w:val="center"/>
          </w:tcPr>
          <w:p w14:paraId="3BE7F6CB" w14:textId="77777777" w:rsidR="00947777" w:rsidRPr="007F2D45" w:rsidRDefault="00947777" w:rsidP="00033DD5">
            <w:pPr>
              <w:pStyle w:val="NoSpacing"/>
              <w:ind w:left="-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D45">
              <w:rPr>
                <w:rFonts w:ascii="Arial" w:hAnsi="Arial" w:cs="Arial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F38DA1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D45">
              <w:rPr>
                <w:rFonts w:ascii="Arial" w:hAnsi="Arial" w:cs="Arial"/>
                <w:b/>
                <w:sz w:val="20"/>
                <w:szCs w:val="20"/>
              </w:rPr>
              <w:t>TEHNIČKA SPECIFIKACIJA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D490F" w14:textId="77777777" w:rsidR="00947777" w:rsidRPr="007F2D45" w:rsidRDefault="00947777" w:rsidP="00033DD5">
            <w:pPr>
              <w:pStyle w:val="NoSpacing"/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Uređaji za</w:t>
            </w:r>
            <w:r w:rsidRPr="007F2D45">
              <w:rPr>
                <w:rFonts w:ascii="Arial" w:hAnsi="Arial" w:cs="Arial"/>
                <w:b/>
                <w:sz w:val="20"/>
                <w:szCs w:val="20"/>
              </w:rPr>
              <w:t xml:space="preserve"> daljinsko očitavanje plinomjera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G-10 i veći - Ex izvedba</w:t>
            </w:r>
            <w:r w:rsidRPr="007F2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zadovoljavaju tražene uvjete</w:t>
            </w:r>
          </w:p>
          <w:p w14:paraId="653889AE" w14:textId="77777777" w:rsidR="00947777" w:rsidRPr="007F2D45" w:rsidRDefault="00947777" w:rsidP="00033DD5">
            <w:pPr>
              <w:pStyle w:val="NoSpacing"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D45">
              <w:rPr>
                <w:rFonts w:ascii="Arial" w:hAnsi="Arial" w:cs="Arial"/>
                <w:b/>
                <w:bCs/>
                <w:sz w:val="20"/>
                <w:szCs w:val="20"/>
              </w:rPr>
              <w:t>(DA / 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6D21F" w14:textId="77777777" w:rsidR="00947777" w:rsidRPr="007F2D45" w:rsidRDefault="00947777" w:rsidP="00600743">
            <w:pPr>
              <w:pStyle w:val="NoSpacing"/>
              <w:ind w:hanging="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D45">
              <w:rPr>
                <w:rFonts w:ascii="Arial" w:hAnsi="Arial" w:cs="Arial"/>
                <w:b/>
                <w:bCs/>
                <w:sz w:val="20"/>
                <w:szCs w:val="20"/>
              </w:rPr>
              <w:t>Naznaka rednog broja stranice i naziva tehničke dokumentacije na kojoj se nalazi tražena specifikacija</w:t>
            </w:r>
          </w:p>
        </w:tc>
      </w:tr>
      <w:tr w:rsidR="00947777" w:rsidRPr="007F2D45" w14:paraId="2E23E690" w14:textId="77777777" w:rsidTr="00033DD5">
        <w:trPr>
          <w:trHeight w:val="619"/>
        </w:trPr>
        <w:tc>
          <w:tcPr>
            <w:tcW w:w="568" w:type="dxa"/>
            <w:shd w:val="clear" w:color="auto" w:fill="auto"/>
            <w:vAlign w:val="center"/>
          </w:tcPr>
          <w:p w14:paraId="6FF5FB48" w14:textId="77777777" w:rsidR="00947777" w:rsidRPr="007F2D45" w:rsidRDefault="00947777" w:rsidP="00033DD5">
            <w:pPr>
              <w:pStyle w:val="NoSpacing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52676841"/>
            <w:r w:rsidRPr="007F2D45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6520" w:type="dxa"/>
            <w:shd w:val="clear" w:color="auto" w:fill="auto"/>
          </w:tcPr>
          <w:p w14:paraId="4AB5F4A3" w14:textId="77777777" w:rsidR="00947777" w:rsidRPr="007F2D45" w:rsidRDefault="00947777" w:rsidP="00033DD5">
            <w:pPr>
              <w:spacing w:before="120"/>
              <w:contextualSpacing/>
              <w:rPr>
                <w:rFonts w:cs="Arial"/>
                <w:b/>
                <w:bCs/>
                <w:sz w:val="20"/>
              </w:rPr>
            </w:pPr>
            <w:r w:rsidRPr="007F2D45">
              <w:rPr>
                <w:rFonts w:cs="Arial"/>
                <w:b/>
                <w:bCs/>
                <w:sz w:val="20"/>
              </w:rPr>
              <w:t xml:space="preserve">Uređaji za daljinsko radijsko očitavanje plinomjera veličine </w:t>
            </w:r>
          </w:p>
          <w:p w14:paraId="4176F83E" w14:textId="77777777" w:rsidR="00947777" w:rsidRPr="007F2D45" w:rsidRDefault="00947777" w:rsidP="00033DD5">
            <w:pPr>
              <w:spacing w:after="120"/>
              <w:jc w:val="both"/>
              <w:rPr>
                <w:rFonts w:cs="Arial"/>
                <w:b/>
                <w:sz w:val="20"/>
              </w:rPr>
            </w:pPr>
            <w:r w:rsidRPr="007F2D45">
              <w:rPr>
                <w:rFonts w:cs="Arial"/>
                <w:b/>
                <w:bCs/>
                <w:sz w:val="20"/>
              </w:rPr>
              <w:t>G-10 i veći - Ex izvedba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E3300" w14:textId="77777777" w:rsidR="00947777" w:rsidRPr="007F2D45" w:rsidRDefault="00947777" w:rsidP="00033DD5">
            <w:pPr>
              <w:pStyle w:val="NoSpacing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73D9F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947777" w:rsidRPr="007F2D45" w14:paraId="1D252EA9" w14:textId="77777777" w:rsidTr="00033DD5">
        <w:trPr>
          <w:trHeight w:val="532"/>
        </w:trPr>
        <w:tc>
          <w:tcPr>
            <w:tcW w:w="568" w:type="dxa"/>
            <w:shd w:val="clear" w:color="auto" w:fill="auto"/>
            <w:vAlign w:val="center"/>
          </w:tcPr>
          <w:p w14:paraId="3250E812" w14:textId="77777777" w:rsidR="00947777" w:rsidRPr="007F2D45" w:rsidRDefault="00947777" w:rsidP="00033DD5">
            <w:pPr>
              <w:pStyle w:val="NoSpacing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64E3D87F" w14:textId="77777777" w:rsidR="00947777" w:rsidRPr="007F2D45" w:rsidRDefault="00947777" w:rsidP="00033DD5">
            <w:pPr>
              <w:spacing w:before="60"/>
              <w:contextualSpacing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 xml:space="preserve">Izvedba uređaja : uređaj u Ex - izvedbi </w:t>
            </w:r>
          </w:p>
          <w:p w14:paraId="13F577CD" w14:textId="77777777" w:rsidR="00947777" w:rsidRPr="007F2D45" w:rsidRDefault="00947777" w:rsidP="00033DD5">
            <w:pPr>
              <w:ind w:left="360"/>
              <w:contextualSpacing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a) važeći  Ex - certifikat ovlaštenog tijela</w:t>
            </w:r>
          </w:p>
          <w:p w14:paraId="4B01AA05" w14:textId="22413D4A" w:rsidR="00947777" w:rsidRPr="007F2D45" w:rsidRDefault="00947777" w:rsidP="00033DD5">
            <w:pPr>
              <w:ind w:left="604" w:hanging="244"/>
              <w:contextualSpacing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 xml:space="preserve">b) </w:t>
            </w:r>
            <w:r w:rsidR="003A04C6" w:rsidRPr="007F2D45">
              <w:rPr>
                <w:rFonts w:cs="Arial"/>
                <w:sz w:val="20"/>
              </w:rPr>
              <w:t>važeća Izjava proizvođača o sukladnosti proizvoda</w:t>
            </w:r>
            <w:r w:rsidR="003A04C6">
              <w:rPr>
                <w:rFonts w:cs="Arial"/>
                <w:sz w:val="20"/>
              </w:rPr>
              <w:t xml:space="preserve"> s EU </w:t>
            </w:r>
            <w:r w:rsidR="003A04C6" w:rsidRPr="007F2D45">
              <w:rPr>
                <w:rFonts w:cs="Arial"/>
                <w:sz w:val="20"/>
              </w:rPr>
              <w:t>direktiv</w:t>
            </w:r>
            <w:r w:rsidR="003A04C6">
              <w:rPr>
                <w:rFonts w:cs="Arial"/>
                <w:sz w:val="20"/>
              </w:rPr>
              <w:t>om</w:t>
            </w:r>
            <w:r w:rsidR="003A04C6" w:rsidRPr="007F2D45">
              <w:rPr>
                <w:rFonts w:cs="Arial"/>
                <w:sz w:val="20"/>
              </w:rPr>
              <w:t xml:space="preserve"> </w:t>
            </w:r>
            <w:r w:rsidR="003A04C6">
              <w:rPr>
                <w:rFonts w:cs="Arial"/>
                <w:sz w:val="20"/>
              </w:rPr>
              <w:t>2014</w:t>
            </w:r>
            <w:r w:rsidR="003A04C6" w:rsidRPr="007F2D45">
              <w:rPr>
                <w:rFonts w:cs="Arial"/>
                <w:sz w:val="20"/>
              </w:rPr>
              <w:t>/</w:t>
            </w:r>
            <w:r w:rsidR="003A04C6">
              <w:rPr>
                <w:rFonts w:cs="Arial"/>
                <w:sz w:val="20"/>
              </w:rPr>
              <w:t>34</w:t>
            </w:r>
            <w:r w:rsidR="003A04C6" w:rsidRPr="007F2D45">
              <w:rPr>
                <w:rFonts w:cs="Arial"/>
                <w:sz w:val="20"/>
              </w:rPr>
              <w:t>/</w:t>
            </w:r>
            <w:r w:rsidR="003A04C6">
              <w:rPr>
                <w:rFonts w:cs="Arial"/>
                <w:sz w:val="20"/>
              </w:rPr>
              <w:t>EU - ATEX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464A6" w14:textId="77777777" w:rsidR="00947777" w:rsidRPr="007F2D45" w:rsidRDefault="00947777" w:rsidP="00033DD5">
            <w:pPr>
              <w:pStyle w:val="NoSpacing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5FE2F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5D4D9908" w14:textId="77777777" w:rsidTr="00033DD5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14:paraId="367BDE37" w14:textId="77777777" w:rsidR="00947777" w:rsidRPr="007F2D45" w:rsidRDefault="00947777" w:rsidP="00033DD5">
            <w:pPr>
              <w:pStyle w:val="NoSpacing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D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4908AF22" w14:textId="77777777" w:rsidR="00947777" w:rsidRPr="007F2D45" w:rsidRDefault="00947777" w:rsidP="00033DD5">
            <w:pPr>
              <w:pStyle w:val="NoSpacing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D45">
              <w:rPr>
                <w:rFonts w:ascii="Arial" w:hAnsi="Arial" w:cs="Arial"/>
                <w:sz w:val="20"/>
                <w:szCs w:val="20"/>
              </w:rPr>
              <w:t>Povezivanje s plinomjerom: mogućnost spajanja s reed senzorom za membranske plinomjere (G-10 i veće) ili sklop s konektorom (muški ili ženski) za rotacijske ili turbinske plinomjere, koji su ugrađeni (ugrađuju se) na distribucijskom području GPZ-a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38C4E" w14:textId="77777777" w:rsidR="00947777" w:rsidRPr="007F2D45" w:rsidRDefault="00947777" w:rsidP="00033DD5">
            <w:pPr>
              <w:pStyle w:val="NoSpacing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A8E2F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509C7F65" w14:textId="77777777" w:rsidTr="00033DD5">
        <w:trPr>
          <w:trHeight w:val="242"/>
        </w:trPr>
        <w:tc>
          <w:tcPr>
            <w:tcW w:w="568" w:type="dxa"/>
            <w:shd w:val="clear" w:color="auto" w:fill="auto"/>
            <w:vAlign w:val="center"/>
          </w:tcPr>
          <w:p w14:paraId="04F4C0C5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14:paraId="3C93F885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Radio modul mora biti u skladu s europskom normom EN 13757-4 Wireless M-Bus T1 MOD OMS (jednosmjerna komunikacija kod očitavanja)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1CD94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85047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208463C2" w14:textId="77777777" w:rsidTr="00033DD5">
        <w:trPr>
          <w:trHeight w:val="572"/>
        </w:trPr>
        <w:tc>
          <w:tcPr>
            <w:tcW w:w="568" w:type="dxa"/>
            <w:shd w:val="clear" w:color="auto" w:fill="auto"/>
            <w:vAlign w:val="center"/>
          </w:tcPr>
          <w:p w14:paraId="1ED02A19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14:paraId="32EBC3D8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periodičkog slanja radijskih poruka sa očitanjima mjerila potrošnje, odnosno stanje brojača impulsa sukladno normi EN 13757-4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5093E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045D9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555E191D" w14:textId="77777777" w:rsidTr="00033DD5">
        <w:trPr>
          <w:trHeight w:val="262"/>
        </w:trPr>
        <w:tc>
          <w:tcPr>
            <w:tcW w:w="568" w:type="dxa"/>
            <w:shd w:val="clear" w:color="auto" w:fill="auto"/>
            <w:vAlign w:val="center"/>
          </w:tcPr>
          <w:p w14:paraId="11F3DFB9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14:paraId="53DA724E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Radijska frekvencija: 868,95 MHz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FF9B7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FBEA73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52311468" w14:textId="77777777" w:rsidTr="00033DD5">
        <w:trPr>
          <w:trHeight w:val="311"/>
        </w:trPr>
        <w:tc>
          <w:tcPr>
            <w:tcW w:w="568" w:type="dxa"/>
            <w:shd w:val="clear" w:color="auto" w:fill="auto"/>
            <w:vAlign w:val="center"/>
          </w:tcPr>
          <w:p w14:paraId="15F6577D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6.</w:t>
            </w:r>
          </w:p>
        </w:tc>
        <w:tc>
          <w:tcPr>
            <w:tcW w:w="6520" w:type="dxa"/>
            <w:shd w:val="clear" w:color="auto" w:fill="auto"/>
          </w:tcPr>
          <w:p w14:paraId="268703BE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 xml:space="preserve">Baterijski napajani uređaj s kapacitetom i vijekom trajanja baterije takvim da  omogućavaju  autonoman i ispravan rad uređaja u minimalnom trajanju od 15 godina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765BE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6FC12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3878E8C4" w14:textId="77777777" w:rsidTr="00033DD5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3FE8B9C4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7.</w:t>
            </w:r>
          </w:p>
        </w:tc>
        <w:tc>
          <w:tcPr>
            <w:tcW w:w="6520" w:type="dxa"/>
            <w:shd w:val="clear" w:color="auto" w:fill="auto"/>
          </w:tcPr>
          <w:p w14:paraId="5E2B61D4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Razina zaštite uređaja od vanjskih utjecaja: minimalno IP 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4E2C0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BA654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6684A789" w14:textId="77777777" w:rsidTr="00033DD5">
        <w:trPr>
          <w:trHeight w:val="250"/>
        </w:trPr>
        <w:tc>
          <w:tcPr>
            <w:tcW w:w="568" w:type="dxa"/>
            <w:shd w:val="clear" w:color="auto" w:fill="auto"/>
            <w:vAlign w:val="center"/>
          </w:tcPr>
          <w:p w14:paraId="1186719C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8.</w:t>
            </w:r>
          </w:p>
        </w:tc>
        <w:tc>
          <w:tcPr>
            <w:tcW w:w="6520" w:type="dxa"/>
            <w:shd w:val="clear" w:color="auto" w:fill="auto"/>
          </w:tcPr>
          <w:p w14:paraId="6DC12F4E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Područje radne temperature minimalno -20 do +55 °C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0C809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6CF1E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0D9DA3E1" w14:textId="77777777" w:rsidTr="00033DD5">
        <w:trPr>
          <w:trHeight w:val="355"/>
        </w:trPr>
        <w:tc>
          <w:tcPr>
            <w:tcW w:w="568" w:type="dxa"/>
            <w:shd w:val="clear" w:color="auto" w:fill="auto"/>
            <w:vAlign w:val="center"/>
          </w:tcPr>
          <w:p w14:paraId="0A1C1381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9.</w:t>
            </w:r>
          </w:p>
        </w:tc>
        <w:tc>
          <w:tcPr>
            <w:tcW w:w="6520" w:type="dxa"/>
            <w:shd w:val="clear" w:color="auto" w:fill="auto"/>
          </w:tcPr>
          <w:p w14:paraId="72250271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Minimalni vremenski razmak između periodičkog odašiljanja radijskih poruka mora iznositi 10 sekundi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BAD4D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942D60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3BA02C86" w14:textId="77777777" w:rsidTr="00033DD5">
        <w:trPr>
          <w:trHeight w:val="174"/>
        </w:trPr>
        <w:tc>
          <w:tcPr>
            <w:tcW w:w="568" w:type="dxa"/>
            <w:shd w:val="clear" w:color="auto" w:fill="auto"/>
            <w:vAlign w:val="center"/>
          </w:tcPr>
          <w:p w14:paraId="73A4A6B5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10.</w:t>
            </w:r>
          </w:p>
        </w:tc>
        <w:tc>
          <w:tcPr>
            <w:tcW w:w="6520" w:type="dxa"/>
            <w:shd w:val="clear" w:color="auto" w:fill="auto"/>
          </w:tcPr>
          <w:p w14:paraId="0E9C61E5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Ugrađen RTC (Real-Time Clock), sat stvarnog vremena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456A6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5CEA95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441277E7" w14:textId="77777777" w:rsidTr="00033DD5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14:paraId="0AD8D4B8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11.</w:t>
            </w:r>
          </w:p>
        </w:tc>
        <w:tc>
          <w:tcPr>
            <w:tcW w:w="6520" w:type="dxa"/>
            <w:shd w:val="clear" w:color="auto" w:fill="auto"/>
          </w:tcPr>
          <w:p w14:paraId="3B65479F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slanja i vremenske oznake u svakoj radijskoj poruci radi detekcije pokušaja zlouporabe ponovnim slanjem snimljenih radijskih poruka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9821E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818D31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16E56147" w14:textId="77777777" w:rsidTr="00033DD5">
        <w:trPr>
          <w:trHeight w:val="414"/>
        </w:trPr>
        <w:tc>
          <w:tcPr>
            <w:tcW w:w="568" w:type="dxa"/>
            <w:shd w:val="clear" w:color="auto" w:fill="auto"/>
            <w:vAlign w:val="center"/>
          </w:tcPr>
          <w:p w14:paraId="138EB05D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12.</w:t>
            </w:r>
          </w:p>
        </w:tc>
        <w:tc>
          <w:tcPr>
            <w:tcW w:w="6520" w:type="dxa"/>
            <w:shd w:val="clear" w:color="auto" w:fill="auto"/>
          </w:tcPr>
          <w:p w14:paraId="64109249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  <w:highlight w:val="yellow"/>
              </w:rPr>
            </w:pPr>
            <w:r w:rsidRPr="007F2D45">
              <w:rPr>
                <w:rFonts w:cs="Arial"/>
                <w:sz w:val="20"/>
              </w:rPr>
              <w:t xml:space="preserve">Zaštita od čitanja sadržaja, neovlašteno očitanje - AES 128 enkripcija radio paketa u skladu s EN 13757-4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8E4B1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A42E7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5991A814" w14:textId="77777777" w:rsidTr="00033DD5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14:paraId="78D18D99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13.</w:t>
            </w:r>
          </w:p>
        </w:tc>
        <w:tc>
          <w:tcPr>
            <w:tcW w:w="6520" w:type="dxa"/>
            <w:shd w:val="clear" w:color="auto" w:fill="auto"/>
          </w:tcPr>
          <w:p w14:paraId="1A321840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Konfiguracija putem enkripcijom zaštićenog radijskog kanala - AES 128 enkripcija ili putem optičke glave standardni Opto IrDa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D917DC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7506C6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2F895A9A" w14:textId="77777777" w:rsidTr="00033DD5">
        <w:trPr>
          <w:trHeight w:val="559"/>
        </w:trPr>
        <w:tc>
          <w:tcPr>
            <w:tcW w:w="568" w:type="dxa"/>
            <w:shd w:val="clear" w:color="auto" w:fill="auto"/>
            <w:vAlign w:val="center"/>
          </w:tcPr>
          <w:p w14:paraId="43E9F26A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14.</w:t>
            </w:r>
          </w:p>
          <w:p w14:paraId="01059C9C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4F55C6D1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 xml:space="preserve">Mogućnost korisničkog mijenjanja enkripcijske zaporke radijskih poruka i pristupu konfiguracijskim parametrima na lokaciji opremom </w:t>
            </w:r>
            <w:r>
              <w:rPr>
                <w:rFonts w:cs="Arial"/>
                <w:sz w:val="20"/>
              </w:rPr>
              <w:t>N</w:t>
            </w:r>
            <w:r w:rsidRPr="007F2D45">
              <w:rPr>
                <w:rFonts w:cs="Arial"/>
                <w:sz w:val="20"/>
              </w:rPr>
              <w:t>aručitelja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917F8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D95471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7D03E684" w14:textId="77777777" w:rsidTr="00033DD5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14:paraId="4365A0D5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15.</w:t>
            </w:r>
          </w:p>
          <w:p w14:paraId="2CD7F1E2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73673128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slanja vrijednosti ostvarene potrošnje u trenutku očitanja (trenutno stanje na brojčaniku plinomjera)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5C55D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01681D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249A4DE1" w14:textId="77777777" w:rsidTr="00033DD5">
        <w:trPr>
          <w:trHeight w:val="266"/>
        </w:trPr>
        <w:tc>
          <w:tcPr>
            <w:tcW w:w="568" w:type="dxa"/>
            <w:shd w:val="clear" w:color="auto" w:fill="auto"/>
            <w:vAlign w:val="center"/>
          </w:tcPr>
          <w:p w14:paraId="19AF48D2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16.</w:t>
            </w:r>
          </w:p>
        </w:tc>
        <w:tc>
          <w:tcPr>
            <w:tcW w:w="6520" w:type="dxa"/>
            <w:shd w:val="clear" w:color="auto" w:fill="auto"/>
          </w:tcPr>
          <w:p w14:paraId="7489654C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Slanje alarma manipulacije (Tamper alarm), odvajanja impulsnog predajnika od mjerila, u svakoj radijskoj poruci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FF99D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7D02E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3726BF41" w14:textId="77777777" w:rsidTr="00033DD5">
        <w:trPr>
          <w:trHeight w:val="562"/>
        </w:trPr>
        <w:tc>
          <w:tcPr>
            <w:tcW w:w="568" w:type="dxa"/>
            <w:shd w:val="clear" w:color="auto" w:fill="auto"/>
            <w:vAlign w:val="center"/>
          </w:tcPr>
          <w:p w14:paraId="4EAA6A0F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lastRenderedPageBreak/>
              <w:t>17.</w:t>
            </w:r>
          </w:p>
        </w:tc>
        <w:tc>
          <w:tcPr>
            <w:tcW w:w="6520" w:type="dxa"/>
            <w:shd w:val="clear" w:color="auto" w:fill="auto"/>
          </w:tcPr>
          <w:p w14:paraId="7AB39990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dojave alarma niskog preostalog kapaciteta baterije u radijskoj poruci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1A87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619891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617BF8C4" w14:textId="77777777" w:rsidTr="00033DD5">
        <w:trPr>
          <w:trHeight w:val="740"/>
        </w:trPr>
        <w:tc>
          <w:tcPr>
            <w:tcW w:w="568" w:type="dxa"/>
            <w:shd w:val="clear" w:color="auto" w:fill="auto"/>
            <w:vAlign w:val="center"/>
          </w:tcPr>
          <w:p w14:paraId="6483EC84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18.</w:t>
            </w:r>
          </w:p>
        </w:tc>
        <w:tc>
          <w:tcPr>
            <w:tcW w:w="6520" w:type="dxa"/>
            <w:shd w:val="clear" w:color="auto" w:fill="auto"/>
          </w:tcPr>
          <w:p w14:paraId="34155DDE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dojave procijenjenog preostalog broja mjeseci ili tjedna ili dana koliko uređaj može raditi prije nego li se baterija isprazni u radijskoj poruci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E64A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57A26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6DD458C7" w14:textId="77777777" w:rsidTr="00033DD5">
        <w:trPr>
          <w:trHeight w:val="553"/>
        </w:trPr>
        <w:tc>
          <w:tcPr>
            <w:tcW w:w="568" w:type="dxa"/>
            <w:shd w:val="clear" w:color="auto" w:fill="auto"/>
            <w:vAlign w:val="center"/>
          </w:tcPr>
          <w:p w14:paraId="6C0365CB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19.</w:t>
            </w:r>
          </w:p>
        </w:tc>
        <w:tc>
          <w:tcPr>
            <w:tcW w:w="6520" w:type="dxa"/>
            <w:shd w:val="clear" w:color="auto" w:fill="auto"/>
          </w:tcPr>
          <w:p w14:paraId="596520D8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postavljanja i slanja serijskog broja mjerila potrošnje svakoj radijskog poruci do 10 znamenaka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9E14D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3510DA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3C65834E" w14:textId="77777777" w:rsidTr="00033DD5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14:paraId="065EC58E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20.</w:t>
            </w:r>
          </w:p>
        </w:tc>
        <w:tc>
          <w:tcPr>
            <w:tcW w:w="6520" w:type="dxa"/>
            <w:shd w:val="clear" w:color="auto" w:fill="auto"/>
          </w:tcPr>
          <w:p w14:paraId="7CCD846A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postavljanja multiplikatora (brojnik i nazivnik) kojim se određuje koliko impulsa se treba izbrojati (brojnik) da bi se stanje povećalo za određeni broj (nazivnik).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DE0AC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812496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1510E563" w14:textId="77777777" w:rsidTr="00033DD5">
        <w:trPr>
          <w:trHeight w:val="560"/>
        </w:trPr>
        <w:tc>
          <w:tcPr>
            <w:tcW w:w="568" w:type="dxa"/>
            <w:shd w:val="clear" w:color="auto" w:fill="auto"/>
            <w:vAlign w:val="center"/>
          </w:tcPr>
          <w:p w14:paraId="1D6B2812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21.</w:t>
            </w:r>
          </w:p>
        </w:tc>
        <w:tc>
          <w:tcPr>
            <w:tcW w:w="6520" w:type="dxa"/>
            <w:shd w:val="clear" w:color="auto" w:fill="auto"/>
          </w:tcPr>
          <w:p w14:paraId="32ED011F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Mogućnost  podešavanja vremena očitavanja za funkciju ˝Očitavanje na dan očitavanja˝ (˝due date˝), zbog moguće promjene cijene plina ili promjena opskrbljivača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0E026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B3DC22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5DCCBB62" w14:textId="77777777" w:rsidTr="00033DD5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14:paraId="443CC30F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22.</w:t>
            </w:r>
          </w:p>
        </w:tc>
        <w:tc>
          <w:tcPr>
            <w:tcW w:w="6520" w:type="dxa"/>
            <w:shd w:val="clear" w:color="auto" w:fill="auto"/>
          </w:tcPr>
          <w:p w14:paraId="6A13E3D9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Uređaj mora biti kompatibilan za povezivanje s primopredajnikom radijskih signala po standardu EN 13757-4 (repetitor)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8EE07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02F21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7" w:rsidRPr="007F2D45" w14:paraId="2AD05087" w14:textId="77777777" w:rsidTr="00033DD5">
        <w:trPr>
          <w:trHeight w:val="581"/>
        </w:trPr>
        <w:tc>
          <w:tcPr>
            <w:tcW w:w="568" w:type="dxa"/>
            <w:shd w:val="clear" w:color="auto" w:fill="auto"/>
            <w:vAlign w:val="center"/>
          </w:tcPr>
          <w:p w14:paraId="123D99DD" w14:textId="77777777" w:rsidR="00947777" w:rsidRPr="007F2D45" w:rsidRDefault="00947777" w:rsidP="00033DD5">
            <w:pPr>
              <w:spacing w:before="60"/>
              <w:jc w:val="center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23.</w:t>
            </w:r>
          </w:p>
        </w:tc>
        <w:tc>
          <w:tcPr>
            <w:tcW w:w="6520" w:type="dxa"/>
            <w:shd w:val="clear" w:color="auto" w:fill="auto"/>
          </w:tcPr>
          <w:p w14:paraId="60445F0B" w14:textId="77777777" w:rsidR="00947777" w:rsidRPr="007F2D45" w:rsidRDefault="00947777" w:rsidP="00033DD5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7F2D45">
              <w:rPr>
                <w:rFonts w:cs="Arial"/>
                <w:sz w:val="20"/>
              </w:rPr>
              <w:t>Uređaj sukladan s europskim direktivama, gdje su primijenjene norme: EN 62</w:t>
            </w:r>
            <w:r>
              <w:rPr>
                <w:rFonts w:cs="Arial"/>
                <w:sz w:val="20"/>
              </w:rPr>
              <w:t xml:space="preserve"> </w:t>
            </w:r>
            <w:r w:rsidRPr="007F2D45">
              <w:rPr>
                <w:rFonts w:cs="Arial"/>
                <w:sz w:val="20"/>
              </w:rPr>
              <w:t>368-1, HRN EN 301 489-1, HRN EN 301 489-3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F05D5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F983F" w14:textId="77777777" w:rsidR="00947777" w:rsidRPr="007F2D45" w:rsidRDefault="00947777" w:rsidP="00033DD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88F94" w14:textId="77777777" w:rsidR="009C33EA" w:rsidRDefault="009C33EA" w:rsidP="00062D13">
      <w:pPr>
        <w:spacing w:before="60" w:after="60"/>
        <w:jc w:val="both"/>
        <w:rPr>
          <w:rFonts w:cs="Arial"/>
          <w:bCs/>
          <w:szCs w:val="24"/>
          <w:u w:val="single"/>
        </w:rPr>
      </w:pPr>
    </w:p>
    <w:p w14:paraId="1C89DCF3" w14:textId="77777777" w:rsidR="009C33EA" w:rsidRDefault="009C33EA" w:rsidP="00062D13">
      <w:pPr>
        <w:spacing w:before="60" w:after="60"/>
        <w:jc w:val="both"/>
        <w:rPr>
          <w:rFonts w:cs="Arial"/>
          <w:bCs/>
          <w:szCs w:val="24"/>
          <w:u w:val="single"/>
        </w:rPr>
      </w:pPr>
    </w:p>
    <w:p w14:paraId="538B0EBF" w14:textId="5DB8FB34" w:rsidR="00062D13" w:rsidRPr="00B62778" w:rsidRDefault="00062D13" w:rsidP="00062D13">
      <w:pPr>
        <w:spacing w:before="60" w:after="60"/>
        <w:jc w:val="both"/>
        <w:rPr>
          <w:rFonts w:cs="Arial"/>
          <w:bCs/>
          <w:szCs w:val="24"/>
          <w:u w:val="single"/>
        </w:rPr>
      </w:pPr>
      <w:r w:rsidRPr="00B62778">
        <w:rPr>
          <w:rFonts w:cs="Arial"/>
          <w:bCs/>
          <w:szCs w:val="24"/>
          <w:u w:val="single"/>
        </w:rPr>
        <w:t>Napomena:</w:t>
      </w:r>
    </w:p>
    <w:p w14:paraId="18C19BBE" w14:textId="77777777" w:rsidR="00062D13" w:rsidRDefault="00062D13" w:rsidP="00062D13">
      <w:pPr>
        <w:jc w:val="both"/>
        <w:rPr>
          <w:rFonts w:cs="Arial"/>
          <w:bCs/>
          <w:szCs w:val="24"/>
        </w:rPr>
      </w:pPr>
      <w:r w:rsidRPr="00B62778">
        <w:rPr>
          <w:rFonts w:cs="Arial"/>
          <w:bCs/>
          <w:szCs w:val="24"/>
        </w:rPr>
        <w:t xml:space="preserve">Poveznica na službenu mrežnu stranicu (web </w:t>
      </w:r>
      <w:r>
        <w:rPr>
          <w:rFonts w:cs="Arial"/>
          <w:bCs/>
          <w:szCs w:val="24"/>
        </w:rPr>
        <w:t>-</w:t>
      </w:r>
      <w:r w:rsidRPr="00B62778">
        <w:rPr>
          <w:rFonts w:cs="Arial"/>
          <w:bCs/>
          <w:szCs w:val="24"/>
        </w:rPr>
        <w:t xml:space="preserve"> stranica </w:t>
      </w:r>
      <w:r>
        <w:rPr>
          <w:rFonts w:cs="Arial"/>
          <w:bCs/>
          <w:szCs w:val="24"/>
        </w:rPr>
        <w:t>-</w:t>
      </w:r>
      <w:r w:rsidRPr="00B62778">
        <w:rPr>
          <w:rFonts w:cs="Arial"/>
          <w:bCs/>
          <w:szCs w:val="24"/>
        </w:rPr>
        <w:t xml:space="preserve"> adresa)</w:t>
      </w:r>
    </w:p>
    <w:bookmarkEnd w:id="0"/>
    <w:p w14:paraId="66DDF994" w14:textId="77777777" w:rsidR="00187AF8" w:rsidRDefault="00187AF8" w:rsidP="000D7A7E">
      <w:pPr>
        <w:jc w:val="both"/>
        <w:rPr>
          <w:rFonts w:cs="Arial"/>
          <w:b/>
          <w:bCs/>
          <w:szCs w:val="24"/>
          <w:u w:val="single"/>
        </w:rPr>
      </w:pPr>
    </w:p>
    <w:p w14:paraId="708C47F8" w14:textId="4C9D2D58" w:rsidR="00FA7F69" w:rsidRDefault="00FA7F69" w:rsidP="000D7A7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Za Ponuditelja:</w:t>
      </w:r>
    </w:p>
    <w:p w14:paraId="1450BF9E" w14:textId="77777777" w:rsidR="00FA7F69" w:rsidRDefault="00FA7F69" w:rsidP="000D7A7E">
      <w:pPr>
        <w:jc w:val="both"/>
        <w:rPr>
          <w:rFonts w:cs="Arial"/>
          <w:szCs w:val="24"/>
        </w:rPr>
      </w:pPr>
    </w:p>
    <w:p w14:paraId="70672A86" w14:textId="1B265A4E" w:rsidR="00FA7F69" w:rsidRDefault="00FA7F69" w:rsidP="000D7A7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</w:t>
      </w:r>
    </w:p>
    <w:p w14:paraId="591D802C" w14:textId="29858C19" w:rsidR="00FA7F69" w:rsidRPr="00FA7F69" w:rsidRDefault="00FA7F69" w:rsidP="000D7A7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(žig i potpis)</w:t>
      </w:r>
    </w:p>
    <w:sectPr w:rsidR="00FA7F69" w:rsidRPr="00FA7F69" w:rsidSect="004F057C">
      <w:headerReference w:type="default" r:id="rId6"/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68BEE" w14:textId="77777777" w:rsidR="008C024A" w:rsidRDefault="008C024A" w:rsidP="00231FB6">
      <w:r>
        <w:separator/>
      </w:r>
    </w:p>
  </w:endnote>
  <w:endnote w:type="continuationSeparator" w:id="0">
    <w:p w14:paraId="26C2AEB6" w14:textId="77777777" w:rsidR="008C024A" w:rsidRDefault="008C024A" w:rsidP="0023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84175"/>
      <w:docPartObj>
        <w:docPartGallery w:val="Page Numbers (Bottom of Page)"/>
        <w:docPartUnique/>
      </w:docPartObj>
    </w:sdtPr>
    <w:sdtEndPr/>
    <w:sdtContent>
      <w:p w14:paraId="47359C60" w14:textId="08D1B0AC" w:rsidR="00231FB6" w:rsidRDefault="00231F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86">
          <w:rPr>
            <w:noProof/>
          </w:rPr>
          <w:t>2</w:t>
        </w:r>
        <w:r>
          <w:fldChar w:fldCharType="end"/>
        </w:r>
      </w:p>
    </w:sdtContent>
  </w:sdt>
  <w:p w14:paraId="186BBAD9" w14:textId="77777777" w:rsidR="00231FB6" w:rsidRDefault="00231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84EB2" w14:textId="77777777" w:rsidR="008C024A" w:rsidRDefault="008C024A" w:rsidP="00231FB6">
      <w:r>
        <w:separator/>
      </w:r>
    </w:p>
  </w:footnote>
  <w:footnote w:type="continuationSeparator" w:id="0">
    <w:p w14:paraId="0B3232FC" w14:textId="77777777" w:rsidR="008C024A" w:rsidRDefault="008C024A" w:rsidP="0023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602F" w14:textId="26B3A9DF" w:rsidR="00677499" w:rsidRDefault="00677499" w:rsidP="00677499">
    <w:pPr>
      <w:pStyle w:val="Header"/>
      <w:jc w:val="center"/>
    </w:pPr>
    <w:r>
      <w:t>TEHNIČKA SPECIFIKACIJA</w:t>
    </w:r>
    <w:r>
      <w:tab/>
    </w:r>
    <w: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53"/>
    <w:rsid w:val="000178BE"/>
    <w:rsid w:val="00062D13"/>
    <w:rsid w:val="00094697"/>
    <w:rsid w:val="00095844"/>
    <w:rsid w:val="000B7177"/>
    <w:rsid w:val="000C31D6"/>
    <w:rsid w:val="000D7A7E"/>
    <w:rsid w:val="000D7E96"/>
    <w:rsid w:val="000E479B"/>
    <w:rsid w:val="00111F6D"/>
    <w:rsid w:val="001606B1"/>
    <w:rsid w:val="00187AF8"/>
    <w:rsid w:val="00191114"/>
    <w:rsid w:val="002013C1"/>
    <w:rsid w:val="00204502"/>
    <w:rsid w:val="00231FB6"/>
    <w:rsid w:val="002603C2"/>
    <w:rsid w:val="002979A7"/>
    <w:rsid w:val="002C7053"/>
    <w:rsid w:val="002D79E0"/>
    <w:rsid w:val="002E30A4"/>
    <w:rsid w:val="002E5298"/>
    <w:rsid w:val="002F4401"/>
    <w:rsid w:val="00302724"/>
    <w:rsid w:val="00306489"/>
    <w:rsid w:val="00310295"/>
    <w:rsid w:val="00314609"/>
    <w:rsid w:val="003304D0"/>
    <w:rsid w:val="00344FFC"/>
    <w:rsid w:val="003540EA"/>
    <w:rsid w:val="00355459"/>
    <w:rsid w:val="003660F1"/>
    <w:rsid w:val="003A04C6"/>
    <w:rsid w:val="003C0689"/>
    <w:rsid w:val="003C35E2"/>
    <w:rsid w:val="00423F7B"/>
    <w:rsid w:val="00425E5E"/>
    <w:rsid w:val="004364FD"/>
    <w:rsid w:val="0047035A"/>
    <w:rsid w:val="00472496"/>
    <w:rsid w:val="0048418E"/>
    <w:rsid w:val="004D7A4D"/>
    <w:rsid w:val="004E0564"/>
    <w:rsid w:val="004F057C"/>
    <w:rsid w:val="00503DB2"/>
    <w:rsid w:val="0052764D"/>
    <w:rsid w:val="0053030B"/>
    <w:rsid w:val="005418BA"/>
    <w:rsid w:val="0054372B"/>
    <w:rsid w:val="00556DE0"/>
    <w:rsid w:val="00571881"/>
    <w:rsid w:val="00577B40"/>
    <w:rsid w:val="0059449C"/>
    <w:rsid w:val="005A744D"/>
    <w:rsid w:val="005C16B2"/>
    <w:rsid w:val="00600743"/>
    <w:rsid w:val="00626B5D"/>
    <w:rsid w:val="00672001"/>
    <w:rsid w:val="00677499"/>
    <w:rsid w:val="00686169"/>
    <w:rsid w:val="006B5637"/>
    <w:rsid w:val="006B7062"/>
    <w:rsid w:val="006C08A2"/>
    <w:rsid w:val="006C4D07"/>
    <w:rsid w:val="006C7F6D"/>
    <w:rsid w:val="006D4E03"/>
    <w:rsid w:val="006E08B1"/>
    <w:rsid w:val="006E23EA"/>
    <w:rsid w:val="00716256"/>
    <w:rsid w:val="007E3F29"/>
    <w:rsid w:val="007F11C1"/>
    <w:rsid w:val="008113EA"/>
    <w:rsid w:val="00823989"/>
    <w:rsid w:val="00850BC1"/>
    <w:rsid w:val="008A38AA"/>
    <w:rsid w:val="008B73E0"/>
    <w:rsid w:val="008C024A"/>
    <w:rsid w:val="008E49CC"/>
    <w:rsid w:val="008E762C"/>
    <w:rsid w:val="009020FA"/>
    <w:rsid w:val="00947777"/>
    <w:rsid w:val="009550EC"/>
    <w:rsid w:val="009829C6"/>
    <w:rsid w:val="00996956"/>
    <w:rsid w:val="009A27B4"/>
    <w:rsid w:val="009B51B6"/>
    <w:rsid w:val="009C0FA0"/>
    <w:rsid w:val="009C33EA"/>
    <w:rsid w:val="009F692A"/>
    <w:rsid w:val="00A53D98"/>
    <w:rsid w:val="00A61ECD"/>
    <w:rsid w:val="00A768F0"/>
    <w:rsid w:val="00A91EC1"/>
    <w:rsid w:val="00AB4F89"/>
    <w:rsid w:val="00AB7FDF"/>
    <w:rsid w:val="00AF579B"/>
    <w:rsid w:val="00B12C4D"/>
    <w:rsid w:val="00B23298"/>
    <w:rsid w:val="00B403A5"/>
    <w:rsid w:val="00B46B80"/>
    <w:rsid w:val="00B57D9B"/>
    <w:rsid w:val="00B83D26"/>
    <w:rsid w:val="00B842FA"/>
    <w:rsid w:val="00BB0667"/>
    <w:rsid w:val="00BC1260"/>
    <w:rsid w:val="00BC3AD9"/>
    <w:rsid w:val="00BE04C0"/>
    <w:rsid w:val="00BE3F0D"/>
    <w:rsid w:val="00C02045"/>
    <w:rsid w:val="00C721CD"/>
    <w:rsid w:val="00CA0F5A"/>
    <w:rsid w:val="00CC402A"/>
    <w:rsid w:val="00CC4475"/>
    <w:rsid w:val="00CD2DA7"/>
    <w:rsid w:val="00D019A7"/>
    <w:rsid w:val="00D37196"/>
    <w:rsid w:val="00D544A0"/>
    <w:rsid w:val="00D55A09"/>
    <w:rsid w:val="00D57A86"/>
    <w:rsid w:val="00D75FF1"/>
    <w:rsid w:val="00D84107"/>
    <w:rsid w:val="00DE3460"/>
    <w:rsid w:val="00E0099D"/>
    <w:rsid w:val="00E05C7A"/>
    <w:rsid w:val="00E245F1"/>
    <w:rsid w:val="00E376D7"/>
    <w:rsid w:val="00E70D9B"/>
    <w:rsid w:val="00EA187A"/>
    <w:rsid w:val="00ED0816"/>
    <w:rsid w:val="00EF7749"/>
    <w:rsid w:val="00F302FD"/>
    <w:rsid w:val="00F76BDD"/>
    <w:rsid w:val="00F77DFE"/>
    <w:rsid w:val="00FA7F69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2A535"/>
  <w15:chartTrackingRefBased/>
  <w15:docId w15:val="{FAC34142-0C74-40FE-82D9-BC6D904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98"/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98"/>
    <w:rPr>
      <w:rFonts w:ascii="Calibri" w:eastAsia="Times New Roman" w:hAnsi="Calibri" w:cs="Times New Roman"/>
      <w:kern w:val="0"/>
      <w:sz w:val="21"/>
      <w:szCs w:val="21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1F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FB6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1F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B6"/>
    <w:rPr>
      <w:rFonts w:ascii="Arial" w:eastAsia="Times New Roman" w:hAnsi="Arial" w:cs="Times New Roman"/>
      <w:kern w:val="0"/>
      <w:szCs w:val="20"/>
      <w14:ligatures w14:val="none"/>
    </w:rPr>
  </w:style>
  <w:style w:type="table" w:styleId="TableGrid">
    <w:name w:val="Table Grid"/>
    <w:basedOn w:val="TableNormal"/>
    <w:rsid w:val="009C0FA0"/>
    <w:rPr>
      <w:rFonts w:eastAsia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">
    <w:name w:val="Odlomak"/>
    <w:basedOn w:val="Normal"/>
    <w:link w:val="OdlomakChar"/>
    <w:rsid w:val="00E376D7"/>
    <w:pPr>
      <w:spacing w:before="60" w:after="60"/>
      <w:ind w:firstLine="720"/>
      <w:jc w:val="both"/>
    </w:pPr>
  </w:style>
  <w:style w:type="character" w:customStyle="1" w:styleId="OdlomakChar">
    <w:name w:val="Odlomak Char"/>
    <w:link w:val="Odlomak"/>
    <w:rsid w:val="00E376D7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Milaković</dc:creator>
  <cp:keywords/>
  <dc:description/>
  <cp:lastModifiedBy>Ines Fantoni</cp:lastModifiedBy>
  <cp:revision>4</cp:revision>
  <cp:lastPrinted>2023-11-22T09:05:00Z</cp:lastPrinted>
  <dcterms:created xsi:type="dcterms:W3CDTF">2024-07-22T07:51:00Z</dcterms:created>
  <dcterms:modified xsi:type="dcterms:W3CDTF">2024-07-22T11:13:00Z</dcterms:modified>
</cp:coreProperties>
</file>